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97</w:t>
      </w:r>
    </w:p>
    <w:p>
      <w:r>
        <w:t>Bundesgericht (BGE), 2004-01-01, DE</w:t>
      </w:r>
    </w:p>
    <w:p>
      <w:r>
        <w:rPr>
          <w:b/>
        </w:rPr>
        <w:t xml:space="preserve">Quelle: </w:t>
      </w:r>
      <w:r>
        <w:t>https://mcp.opencaselaw.ch/entscheid/bge_130 IV 97</w:t>
      </w:r>
    </w:p>
    <w:p>
      <w:r>
        <w:t>FR: ATF 130 IV 97</w:t>
      </w:r>
    </w:p>
    <w:p>
      <w:r>
        <w:t>IT: DTF 130 IV 97</w:t>
      </w:r>
    </w:p>
    <w:p>
      <w:pPr>
        <w:pStyle w:val="Heading2"/>
      </w:pPr>
      <w:r>
        <w:t>Regeste</w:t>
      </w:r>
    </w:p>
    <w:p>
      <w:r>
        <w:t>Regeste Art. 29 StGB; Beginn des Fristenlaufs der Strafantragsfrist. Die Frist zur Stellung des Strafantrages beginnt erst zu laufen, wenn der Verletzte persönlich, und nicht schon, wenn sein bevollmächtigter Vertreter die Tat und den Täter kennt (E. 2).</w:t>
      </w:r>
    </w:p>
    <w:p>
      <w:pPr>
        <w:pStyle w:val="Heading2"/>
      </w:pPr>
      <w:r>
        <w:t>Erwägungen</w:t>
      </w:r>
    </w:p>
    <w:p>
      <w:r>
        <w:rPr>
          <w:b/>
        </w:rPr>
        <w:t>E. 2</w:t>
      </w:r>
    </w:p>
    <w:p>
      <w:r>
        <w:t>Der Beschwerdeführer macht geltend, die Vorinstanz habe Art. 29 StGB verletzt, indem sie davon ausgegangen sei, zum Zeitpunkt der Einreichung seiner Klage sei die Frist, um Strafantrag zu stellen, bereits abgelaufen gewesen. Für den Beginn des Fristenlaufs könne frühestens auf das Datum der Entbindung seines Rechtsvertreters von der Stillhaltevereinbarung, mithin auf den 13. August 2002, abgestellt werden.</w:t>
      </w:r>
    </w:p>
    <w:p>
      <w:r>
        <w:rPr>
          <w:b/>
        </w:rPr>
        <w:t>E. 2.1</w:t>
      </w:r>
    </w:p>
    <w:p>
      <w:r>
        <w:t>Die dreimonatige Strafantragsfrist beginnt mit dem Tag, an welchem dem Antragsberechtigten der Täter bekannt wird ( Art. 29 StGB ). Die Antragsberechtigung richtet sich dabei nach dem Träger des angegriffenen Rechtsgutes; bei höchstpersönlichen Rechtsgütern wie der Ehre ist Verletzter nur der Träger des Rechtsgutes selbst ( Art. 28 Abs. 1 StGB ; BGE 121 IV 258 E. 2b). Das Recht, Strafantrag zu stellen, ist grundsätzlich höchstpersönlicher Natur und unübertragbar ( BGE 122 IV 207 E. 3c). Daraus hat das Bundesgericht gefolgert, dass unter dem Antragsberechtigten BGE 130 IV 97 S. 99 nur der Verletzte persönlich und nicht auch sein bevollmächtigter Vertreter zu verstehen ist, sodass die Antragsfrist erst zu laufen beginnt, wenn der Verletzte persönlich die Tat und den Täter kennt und nicht schon, wenn sein bevollmächtigter Vertreter diese Kenntnis hat ( BGE 80 IV 209 E. 2; BGE 97 I 769 E. 2).</w:t>
      </w:r>
    </w:p>
    <w:p>
      <w:r>
        <w:rPr>
          <w:b/>
        </w:rPr>
        <w:t>E. 2.2</w:t>
      </w:r>
    </w:p>
    <w:p>
      <w:r>
        <w:t>Nach Auffassung der Vorinstanzen rechtfertigt sich ein Abweichen von der dargelegten Rechtsprechung im vorliegenden Fall deshalb, weil der Beschwerdeführer seinen Rechtsvertreter schon vor dem Zeitpunkt, in welchem er Kenntnis vom Namen der Beschwerdegegnerin erhielt, mit der Stellung eines Strafantrages beauftragt hatte. Er habe sich dessen Kenntnis somit spätestens ab dem 26. Juli 2002 - dem Datum der Bevollmächtigung - anrechnen zu lassen, weshalb die Antragsfrist spätestens am 26. Oktober 2002 abgelaufen sei. Die Vorinstanzen stützen ihre Ansicht auf REHBERG und RIEDO. REHBERG vertritt ohne weitere Begründung die Auffassung, auf die Kenntnis des bevollmächtigten Vertreters müsse es entgegen der bundesgerichtlichen Rechtsprechung ankommen, wenn der Verletzte diesen bereits zu einem Zeitpunkt zur Stellung eines Strafantrages ermächtigt habe, in welchem der Täter noch keinem von beiden bekannt gewesen sei (JÖRG REHBERG, Der Strafantrag, ZStrR 85/1969 S. 247 ff., 269). RIEDO teilt diese Meinung und schlägt vor, die Grundsätze anzuwenden, wie sie für das Handeln von Organen juristischer Personen gelten. Es sei stossend, wenn der Vertretene zur Wahrung seiner Interessen einen Vertreter bestellen könnte, um sich später darauf zu berufen, er selbst habe den Täter nicht gekannt (CHRISTOF RIEDO, Basler Kommentar, Strafgesetzbuch I, Art. 29 StGB N. 10).</w:t>
      </w:r>
    </w:p>
    <w:p>
      <w:r>
        <w:rPr>
          <w:b/>
        </w:rPr>
        <w:t>E. 2.3</w:t>
      </w:r>
    </w:p>
    <w:p>
      <w:r>
        <w:t>Entgegen der Meinung der zitierten Autoren ist kein zwingender Grund ersichtlich, in Fällen wie dem vorliegenden von der bisherigen Rechtsprechung abzuweichen und dem Vertretenen die Kenntnis seines Bevollmächtigten anzurechnen. Denn auch wenn ein Verletzter seinen Rechtsvertreter vor Kenntnis des Täters mit der Einreichung eines Strafantrags beauftragt, ist es durchaus denkbar, dass er, je nachdem, wer als Täter identifiziert wird, keine Strafverfolgung wünscht. Der Entscheid, Strafantrag zu stellen oder darauf zu verzichten, muss ihm daher persönlich erhalten bleiben. Weil der Vertretene, der Strafantrag stellen möchte, im Allgemeinen an einer möglichst baldigen Anhandnahme der BGE 130 IV 97 S. 100 Strafverfolgung interessiert sein dürfte, ist die Gefahr des Rechtsmissbrauchs gering. Im Einzelfall könnte einem solchen ohnehin Rechnung getragen werden. Die Rechtslage bei der bürgerlichen Stellvertretung ist sodann keineswegs mit derjenigen bei der Organvertretung vergleichbar, da juristische Personen naturgemäss nicht selbst, sondern nur durch ihre Organe Strafantrag stellen können. Viel eher scheint ein Vergleich mit der gesetzlichen Vertretung urteilsfähiger Entmündigter angebracht. Denn dem gesetzlichen Vertreter steht hier neben dem Verletzten ein selbständiges Antragsrecht zu (vgl. Art. 28 Abs. 3 StGB ; BGE 127 IV 193 E. 5b). Wie RIEDO selbst festhält, führt die Kenntnis des Täters durch den Vertreter in diesen Fällen nicht zum Beginn des Fristenlaufs für den Vertretenen (RIEDO, a.a.O., Art. 28 StGB N. 29 sowie Art. 29 StGB N. 7; vgl. auch WALTER HUBER, Die allgemeinen Regeln über den Strafantrag im schweizerischen Recht [StGB 28-31], Diss. Zürich 1967, S. 28). Muss sich aber nicht einmal der gesetzlich Vertretene das Wissen seines Vertreters anrechnen lassen, kann sich dies für die gewillkürte Stellvertretung umso weniger rechtfertigen. Im vorliegenden Fall kommt hinzu, dass sich der Rechtsvertreter des Beschwerdeführers gegenüber dessen Arbeitgeberin vertraglich verpflichtet hatte, seinem Mandanten die Namen der Mitarbeiterinnen und Mitarbeiter, welche die Vorwürfe der sexuellen Belästigung erhoben hatten, zu verschweigen. Solange er an diese Vereinbarung gebunden war, durfte er keine Strafklage gegen die betreffenden Personen einreichen. Denn hierfür hätte er die Namen in der Klageschrift nennen müssen und der Beschwerdeführer hätte sie spätestens durch Teilnahme am Strafprozess erfahren. Würde für die hier zu entscheidende Frage auf die Kenntnis des Rechtsvertreters abgestellt, hätte die Strafantragsfrist demnach vor dem Zeitpunkt zu laufen begonnen, ab welchem Klage eingereicht werden durfte. Die Arbeitgeberin hätte es damit in der Hand gehabt zu entscheiden, wie viel Zeit dem Beschwerdeführer für die Stellung des Antrags verbleiben bzw. ob ihm dies überhaupt noch möglich sein solle. Es kann aber nicht angehen, dass eine unbeteiligte Drittperson die Dauer der Strafantragsfrist verkürzen kann. Das Argument der Beschwerdegegnerin, der Beschwerdeführer habe nach der Entbindung seines Rechtsvertreters von der Stillhalteverpflichtung am 13. August 2002 zur Einreichung der Klage noch genügend Zeit gehabt, überzeugt daher nicht. BGE 130 IV 97 S. 101</w:t>
      </w:r>
    </w:p>
    <w:p>
      <w:r>
        <w:rPr>
          <w:b/>
        </w:rPr>
        <w:t>E. 2.4</w:t>
      </w:r>
    </w:p>
    <w:p>
      <w:r>
        <w:t>Nachdem der Name der Beschwerdegegnerin dem Beschwerdeführer laut den verbindlichen tatsächlichen Feststellungen der Vorinstanz vor der Aufhebung der Stillhaltevereinbarung nicht bekannt gegeben worden war, begann die Antragsfrist nach den vorstehenden Erwägungen frühestens am 13. August 2002 zu laufen. Mit Einreichung der Klage am 13. November 2002 war die dreimonatige Frist damit auf jeden Fall gewahrt, weshalb sich die Beschwerde als 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